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74E" w:rsidRDefault="00C90732">
      <w:pPr>
        <w:pStyle w:val="CRCoverPage"/>
        <w:tabs>
          <w:tab w:val="right" w:pos="9639"/>
        </w:tabs>
        <w:snapToGrid w:val="0"/>
        <w:spacing w:after="0"/>
        <w:rPr>
          <w:b/>
          <w:sz w:val="24"/>
          <w:szCs w:val="24"/>
        </w:rPr>
      </w:pPr>
      <w:bookmarkStart w:id="0" w:name="_Ref494746248"/>
      <w:r>
        <w:rPr>
          <w:b/>
          <w:sz w:val="24"/>
          <w:szCs w:val="24"/>
        </w:rPr>
        <w:t>3GPP TSG RAN WG1 Meeting #100bis</w:t>
      </w:r>
      <w:r>
        <w:rPr>
          <w:b/>
          <w:sz w:val="24"/>
          <w:szCs w:val="24"/>
        </w:rPr>
        <w:tab/>
        <w:t xml:space="preserve"> </w:t>
      </w:r>
      <w:r>
        <w:rPr>
          <w:b/>
          <w:sz w:val="24"/>
          <w:szCs w:val="24"/>
          <w:lang w:val="en-US"/>
        </w:rPr>
        <w:t>R1-200</w:t>
      </w:r>
      <w:r w:rsidR="007C389A">
        <w:rPr>
          <w:b/>
          <w:sz w:val="24"/>
          <w:szCs w:val="24"/>
          <w:lang w:val="en-US"/>
        </w:rPr>
        <w:t>1714</w:t>
      </w:r>
      <w:bookmarkStart w:id="1" w:name="_GoBack"/>
      <w:bookmarkEnd w:id="1"/>
    </w:p>
    <w:p w:rsidR="0033774E" w:rsidRDefault="00C90732">
      <w:pPr>
        <w:snapToGrid w:val="0"/>
        <w:spacing w:after="240"/>
        <w:rPr>
          <w:rFonts w:ascii="Arial" w:eastAsia="MS Mincho" w:hAnsi="Arial"/>
          <w:b/>
          <w:sz w:val="24"/>
          <w:szCs w:val="24"/>
          <w:lang w:val="en-GB"/>
        </w:rPr>
      </w:pPr>
      <w:r>
        <w:rPr>
          <w:rFonts w:ascii="Arial" w:hAnsi="Arial" w:cs="Arial"/>
          <w:b/>
          <w:sz w:val="24"/>
          <w:szCs w:val="24"/>
        </w:rPr>
        <w:t>Electronic Meeting, April 20-30, 2020</w:t>
      </w:r>
    </w:p>
    <w:p w:rsidR="0033774E" w:rsidRDefault="00C90732">
      <w:pPr>
        <w:tabs>
          <w:tab w:val="left" w:pos="1985"/>
        </w:tabs>
        <w:spacing w:after="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33774E" w:rsidRDefault="00C90732">
      <w:pPr>
        <w:spacing w:after="0"/>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t>Discussion on UE Features for 2-step RACH</w:t>
      </w:r>
    </w:p>
    <w:p w:rsidR="0033774E" w:rsidRDefault="00C90732">
      <w:pPr>
        <w:tabs>
          <w:tab w:val="left" w:pos="1985"/>
        </w:tabs>
        <w:spacing w:after="0"/>
        <w:rPr>
          <w:rFonts w:ascii="Arial" w:hAnsi="Arial"/>
          <w:b/>
          <w:sz w:val="22"/>
          <w:szCs w:val="22"/>
          <w:lang w:eastAsia="zh-CN"/>
        </w:rPr>
      </w:pPr>
      <w:r>
        <w:rPr>
          <w:rFonts w:ascii="Arial" w:hAnsi="Arial"/>
          <w:b/>
          <w:sz w:val="22"/>
          <w:szCs w:val="22"/>
        </w:rPr>
        <w:t>Agenda item:</w:t>
      </w:r>
      <w:r>
        <w:rPr>
          <w:rFonts w:ascii="Arial" w:hAnsi="Arial"/>
          <w:b/>
          <w:sz w:val="22"/>
          <w:szCs w:val="22"/>
        </w:rPr>
        <w:tab/>
        <w:t>7.2.11.1</w:t>
      </w:r>
    </w:p>
    <w:p w:rsidR="0033774E" w:rsidRDefault="00C90732">
      <w:pPr>
        <w:spacing w:after="240"/>
        <w:ind w:left="1990" w:hanging="1990"/>
        <w:rPr>
          <w:rFonts w:ascii="Arial" w:hAnsi="Arial"/>
          <w:b/>
          <w:sz w:val="22"/>
          <w:szCs w:val="22"/>
        </w:rPr>
      </w:pPr>
      <w:r>
        <w:rPr>
          <w:rFonts w:ascii="Arial" w:hAnsi="Arial"/>
          <w:b/>
          <w:sz w:val="22"/>
          <w:szCs w:val="22"/>
        </w:rPr>
        <w:t>Document for:</w:t>
      </w:r>
      <w:r>
        <w:rPr>
          <w:rFonts w:ascii="Arial" w:hAnsi="Arial"/>
          <w:b/>
          <w:sz w:val="22"/>
          <w:szCs w:val="22"/>
        </w:rPr>
        <w:tab/>
      </w:r>
      <w:bookmarkStart w:id="2" w:name="DocumentFor"/>
      <w:bookmarkEnd w:id="2"/>
      <w:r>
        <w:rPr>
          <w:rFonts w:ascii="Arial" w:hAnsi="Arial"/>
          <w:b/>
          <w:sz w:val="22"/>
          <w:szCs w:val="22"/>
        </w:rPr>
        <w:t>Discussion/Decision</w:t>
      </w:r>
    </w:p>
    <w:p w:rsidR="0033774E" w:rsidRDefault="00C90732">
      <w:pPr>
        <w:pStyle w:val="Heading1"/>
        <w:textAlignment w:val="auto"/>
      </w:pPr>
      <w:bookmarkStart w:id="3" w:name="_Ref4817"/>
      <w:r>
        <w:t>Introduction</w:t>
      </w:r>
      <w:bookmarkEnd w:id="0"/>
      <w:bookmarkEnd w:id="3"/>
    </w:p>
    <w:p w:rsidR="0033774E" w:rsidRDefault="00C90732">
      <w:pPr>
        <w:rPr>
          <w:lang w:val="en-GB" w:eastAsia="zh-CN"/>
        </w:rPr>
      </w:pPr>
      <w:r>
        <w:rPr>
          <w:lang w:val="en-GB" w:eastAsia="zh-CN"/>
        </w:rPr>
        <w:t xml:space="preserve">After RAN1#99 meeting, </w:t>
      </w:r>
      <w:r>
        <w:rPr>
          <w:rFonts w:hint="eastAsia"/>
          <w:lang w:val="en-GB" w:eastAsia="zh-CN"/>
        </w:rPr>
        <w:t>it</w:t>
      </w:r>
      <w:r>
        <w:rPr>
          <w:lang w:val="en-GB" w:eastAsia="zh-CN"/>
        </w:rPr>
        <w:t xml:space="preserve"> has been declared all the Rel-16 RAN1-led WIs as finished in RAN1 perspective. Since then, there has been two rounds of email discussion for the L1 UE features [1]. In this contribution, we provide some further views based on the latest UE feature list for Rel-16 2-step RACH.</w:t>
      </w:r>
    </w:p>
    <w:p w:rsidR="0033774E" w:rsidRDefault="00C90732">
      <w:pPr>
        <w:pStyle w:val="Heading1"/>
        <w:rPr>
          <w:sz w:val="28"/>
          <w:lang w:eastAsia="zh-CN"/>
        </w:rPr>
      </w:pPr>
      <w:r>
        <w:rPr>
          <w:lang w:eastAsia="zh-CN"/>
        </w:rPr>
        <w:t>Views on the UE features for 2-step RAC</w:t>
      </w:r>
      <w:r>
        <w:rPr>
          <w:lang w:val="en-US" w:eastAsia="zh-CN"/>
        </w:rPr>
        <w:t>H</w:t>
      </w:r>
    </w:p>
    <w:p w:rsidR="0033774E" w:rsidRDefault="00C90732">
      <w:pPr>
        <w:rPr>
          <w:lang w:val="en-GB" w:eastAsia="zh-CN"/>
        </w:rPr>
      </w:pPr>
      <w:r>
        <w:rPr>
          <w:rFonts w:hint="eastAsia"/>
          <w:lang w:val="en-GB" w:eastAsia="zh-CN"/>
        </w:rPr>
        <w:t xml:space="preserve">In previous email discussion as well as the RAN Plenary discussion, there has been discussed about the </w:t>
      </w:r>
      <w:r>
        <w:rPr>
          <w:lang w:val="en-GB" w:eastAsia="zh-CN"/>
        </w:rPr>
        <w:t>structure of the</w:t>
      </w:r>
      <w:r>
        <w:rPr>
          <w:rFonts w:hint="eastAsia"/>
          <w:lang w:val="en-GB" w:eastAsia="zh-CN"/>
        </w:rPr>
        <w:t xml:space="preserve"> feature group</w:t>
      </w:r>
      <w:r>
        <w:rPr>
          <w:lang w:val="en-GB" w:eastAsia="zh-CN"/>
        </w:rPr>
        <w:t>s</w:t>
      </w:r>
      <w:r>
        <w:rPr>
          <w:rFonts w:hint="eastAsia"/>
          <w:lang w:val="en-GB" w:eastAsia="zh-CN"/>
        </w:rPr>
        <w:t>.</w:t>
      </w:r>
    </w:p>
    <w:p w:rsidR="0033774E" w:rsidRDefault="00C90732">
      <w:pPr>
        <w:rPr>
          <w:lang w:val="en-GB" w:eastAsia="zh-CN"/>
        </w:rPr>
      </w:pPr>
      <w:r>
        <w:rPr>
          <w:noProof/>
          <w:lang w:eastAsia="zh-CN"/>
        </w:rPr>
        <mc:AlternateContent>
          <mc:Choice Requires="wps">
            <w:drawing>
              <wp:inline distT="0" distB="0" distL="0" distR="0">
                <wp:extent cx="6106795" cy="1404620"/>
                <wp:effectExtent l="0" t="0" r="2730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1404620"/>
                        </a:xfrm>
                        <a:prstGeom prst="rect">
                          <a:avLst/>
                        </a:prstGeom>
                        <a:solidFill>
                          <a:srgbClr val="FFFFFF"/>
                        </a:solidFill>
                        <a:ln w="9525">
                          <a:solidFill>
                            <a:srgbClr val="000000"/>
                          </a:solidFill>
                          <a:miter lim="800000"/>
                        </a:ln>
                      </wps:spPr>
                      <wps:txbx>
                        <w:txbxContent>
                          <w:p w:rsidR="0033774E" w:rsidRDefault="00C90732">
                            <w:pPr>
                              <w:numPr>
                                <w:ilvl w:val="0"/>
                                <w:numId w:val="9"/>
                              </w:numPr>
                              <w:overflowPunct/>
                              <w:autoSpaceDE/>
                              <w:autoSpaceDN/>
                              <w:adjustRightInd/>
                              <w:spacing w:afterLines="50" w:after="120"/>
                              <w:textAlignment w:val="auto"/>
                            </w:pPr>
                            <w:r>
                              <w:rPr>
                                <w:rFonts w:hint="eastAsia"/>
                              </w:rPr>
                              <w:t>There are at least two possible approaches below to define the set of feature groups for a purpose.</w:t>
                            </w:r>
                          </w:p>
                          <w:p w:rsidR="0033774E" w:rsidRDefault="00C90732">
                            <w:pPr>
                              <w:numPr>
                                <w:ilvl w:val="1"/>
                                <w:numId w:val="9"/>
                              </w:numPr>
                              <w:overflowPunct/>
                              <w:autoSpaceDE/>
                              <w:autoSpaceDN/>
                              <w:adjustRightInd/>
                              <w:spacing w:afterLines="50" w:after="120"/>
                              <w:textAlignment w:val="auto"/>
                            </w:pPr>
                            <w:r>
                              <w:rPr>
                                <w:rFonts w:hint="eastAsia"/>
                              </w:rPr>
                              <w:t xml:space="preserve">Approach 1: A basic feature group(s), which is a set of components that are viewed necessary to provide a minimum level of support for the feature. Defining a basic feature group(s) is not always possible or necessary for a given feature. </w:t>
                            </w:r>
                          </w:p>
                          <w:p w:rsidR="0033774E" w:rsidRDefault="00C90732">
                            <w:pPr>
                              <w:numPr>
                                <w:ilvl w:val="1"/>
                                <w:numId w:val="9"/>
                              </w:numPr>
                              <w:overflowPunct/>
                              <w:autoSpaceDE/>
                              <w:autoSpaceDN/>
                              <w:adjustRightInd/>
                              <w:spacing w:afterLines="50" w:after="120"/>
                              <w:textAlignment w:val="auto"/>
                            </w:pPr>
                            <w:r>
                              <w:rPr>
                                <w:rFonts w:hint="eastAsia"/>
                              </w:rPr>
                              <w:t>Approach 2: A set(s) of feature groups necessary to be supported for the purpose is defined somewhere in specification(s).</w:t>
                            </w:r>
                          </w:p>
                          <w:p w:rsidR="0033774E" w:rsidRDefault="00C90732">
                            <w:pPr>
                              <w:pStyle w:val="3"/>
                              <w:widowControl/>
                              <w:numPr>
                                <w:ilvl w:val="0"/>
                                <w:numId w:val="9"/>
                              </w:numPr>
                              <w:overflowPunct w:val="0"/>
                              <w:autoSpaceDE w:val="0"/>
                              <w:adjustRightInd w:val="0"/>
                              <w:spacing w:before="120" w:afterLines="50" w:after="120" w:line="280" w:lineRule="atLeast"/>
                              <w:textAlignment w:val="baseline"/>
                              <w:rPr>
                                <w:rFonts w:ascii="New York" w:hAnsi="New York"/>
                              </w:rPr>
                            </w:pPr>
                            <w:r>
                              <w:rPr>
                                <w:rFonts w:ascii="New York" w:hAnsi="New York" w:hint="eastAsia"/>
                              </w:rPr>
                              <w:t>Each WG is responsible on whether/how to define the basic feature group(s) or the set(s) of feature groups, and it is possible to take different decision on approaches (including possibility to not define any basic feature group or set) for different purposes/features. It is preferable to take common approach across WGs for same feature/purpose.</w:t>
                            </w:r>
                          </w:p>
                          <w:p w:rsidR="0033774E" w:rsidRDefault="00C90732">
                            <w:pPr>
                              <w:pStyle w:val="3"/>
                              <w:widowControl/>
                              <w:numPr>
                                <w:ilvl w:val="1"/>
                                <w:numId w:val="9"/>
                              </w:numPr>
                              <w:overflowPunct w:val="0"/>
                              <w:autoSpaceDE w:val="0"/>
                              <w:adjustRightInd w:val="0"/>
                              <w:spacing w:before="120" w:afterLines="50" w:after="120" w:line="280" w:lineRule="atLeast"/>
                              <w:textAlignment w:val="baseline"/>
                              <w:rPr>
                                <w:rFonts w:ascii="New York" w:hAnsi="New York"/>
                              </w:rPr>
                            </w:pPr>
                            <w:r>
                              <w:rPr>
                                <w:rFonts w:ascii="New York" w:hAnsi="New York" w:hint="eastAsia"/>
                              </w:rPr>
                              <w:t>The Plenary guidance may be requested, if needed after WG discussions, on whether defining a set of feature groups based on Approach 2 for some feature, either in addition or instead of approach 1. There has been no conclusion in previous discussions, including RAN 87e, that it would be necessary.</w:t>
                            </w:r>
                          </w:p>
                        </w:txbxContent>
                      </wps:txbx>
                      <wps:bodyPr rot="0" vert="horz" wrap="square" lIns="91440" tIns="45720" rIns="91440" bIns="45720" anchor="t" anchorCtr="0">
                        <a:spAutoFit/>
                      </wps:bodyPr>
                    </wps:wsp>
                  </a:graphicData>
                </a:graphic>
              </wp:inline>
            </w:drawing>
          </mc:Choice>
          <mc:Fallback xmlns:wpsCustomData="http://www.wps.cn/officeDocument/2013/wpsCustomData">
            <w:pict>
              <v:shape id="Text Box 2" o:spid="_x0000_s1026" o:spt="202" type="#_x0000_t202" style="height:110.6pt;width:480.85pt;" fillcolor="#FFFFFF" filled="t" stroked="t" coordsize="21600,21600" o:gfxdata="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GYry7VAAAABQEAAA8AAAAAAAAAAQAg&#10;AAAAIgAAAGRycy9kb3ducmV2LnhtbFBLAQIUABQAAAAIAIdO4kDLFzBhEQIAAC8EAAAOAAAAAAAA&#10;AAEAIAAAACQBAABkcnMvZTJvRG9jLnhtbFBLBQYAAAAABgAGAFkBAACnBQAAAAA=&#10;">
                <v:fill on="t" focussize="0,0"/>
                <v:stroke color="#000000" miterlimit="8" joinstyle="miter"/>
                <v:imagedata o:title=""/>
                <o:lock v:ext="edit" aspectratio="f"/>
                <v:textbox style="mso-fit-shape-to-text:t;">
                  <w:txbxContent>
                    <w:p>
                      <w:pPr>
                        <w:numPr>
                          <w:ilvl w:val="0"/>
                          <w:numId w:val="9"/>
                        </w:numPr>
                        <w:overflowPunct/>
                        <w:autoSpaceDE/>
                        <w:autoSpaceDN/>
                        <w:adjustRightInd/>
                        <w:spacing w:after="120" w:afterLines="50"/>
                        <w:textAlignment w:val="auto"/>
                      </w:pPr>
                      <w:r>
                        <w:rPr>
                          <w:rFonts w:hint="eastAsia"/>
                        </w:rPr>
                        <w:t>There are at least two possible approaches below to define the set of feature groups for a purpose.</w:t>
                      </w:r>
                    </w:p>
                    <w:p>
                      <w:pPr>
                        <w:numPr>
                          <w:ilvl w:val="1"/>
                          <w:numId w:val="9"/>
                        </w:numPr>
                        <w:overflowPunct/>
                        <w:autoSpaceDE/>
                        <w:autoSpaceDN/>
                        <w:adjustRightInd/>
                        <w:spacing w:after="120" w:afterLines="50"/>
                        <w:textAlignment w:val="auto"/>
                      </w:pPr>
                      <w:r>
                        <w:rPr>
                          <w:rFonts w:hint="eastAsia"/>
                        </w:rPr>
                        <w:t xml:space="preserve">Approach 1: A basic feature group(s), which is a set of components that are viewed necessary to provide a minimum level of support for the feature. Defining a basic feature group(s) is not always possible or necessary for a given feature. </w:t>
                      </w:r>
                    </w:p>
                    <w:p>
                      <w:pPr>
                        <w:numPr>
                          <w:ilvl w:val="1"/>
                          <w:numId w:val="9"/>
                        </w:numPr>
                        <w:overflowPunct/>
                        <w:autoSpaceDE/>
                        <w:autoSpaceDN/>
                        <w:adjustRightInd/>
                        <w:spacing w:after="120" w:afterLines="50"/>
                        <w:textAlignment w:val="auto"/>
                      </w:pPr>
                      <w:r>
                        <w:rPr>
                          <w:rFonts w:hint="eastAsia"/>
                        </w:rPr>
                        <w:t>Approach 2: A set(s) of feature groups necessary to be supported for the purpose is defined somewhere in specification(s).</w:t>
                      </w:r>
                    </w:p>
                    <w:p>
                      <w:pPr>
                        <w:pStyle w:val="156"/>
                        <w:widowControl/>
                        <w:numPr>
                          <w:ilvl w:val="0"/>
                          <w:numId w:val="9"/>
                        </w:numPr>
                        <w:overflowPunct w:val="0"/>
                        <w:autoSpaceDE w:val="0"/>
                        <w:adjustRightInd w:val="0"/>
                        <w:spacing w:before="120" w:after="120" w:afterLines="50" w:line="280" w:lineRule="atLeast"/>
                        <w:textAlignment w:val="baseline"/>
                        <w:rPr>
                          <w:rFonts w:ascii="New York" w:hAnsi="New York"/>
                        </w:rPr>
                      </w:pPr>
                      <w:r>
                        <w:rPr>
                          <w:rFonts w:hint="eastAsia" w:ascii="New York" w:hAnsi="New York"/>
                        </w:rPr>
                        <w:t>Each WG is responsible on whether/how to define the basic feature group(s) or the set(s) of feature groups, and it is possible to take different decision on approaches (including possibility to not define any basic feature group or set) for different purposes/features. It is preferable to take common approach across WGs for same feature/purpose.</w:t>
                      </w:r>
                    </w:p>
                    <w:p>
                      <w:pPr>
                        <w:pStyle w:val="156"/>
                        <w:widowControl/>
                        <w:numPr>
                          <w:ilvl w:val="1"/>
                          <w:numId w:val="9"/>
                        </w:numPr>
                        <w:overflowPunct w:val="0"/>
                        <w:autoSpaceDE w:val="0"/>
                        <w:adjustRightInd w:val="0"/>
                        <w:spacing w:before="120" w:after="120" w:afterLines="50" w:line="280" w:lineRule="atLeast"/>
                        <w:textAlignment w:val="baseline"/>
                        <w:rPr>
                          <w:rFonts w:ascii="New York" w:hAnsi="New York"/>
                        </w:rPr>
                      </w:pPr>
                      <w:r>
                        <w:rPr>
                          <w:rFonts w:hint="eastAsia" w:ascii="New York" w:hAnsi="New York"/>
                        </w:rPr>
                        <w:t>The Plenary guidance may be requested, if needed after WG discussions, on whether defining a set of feature groups based on Approach 2 for some feature, either in addition or instead of approach 1. There has been no conclusion in previous discussions, including RAN 87e, that it would be necessary.</w:t>
                      </w:r>
                    </w:p>
                  </w:txbxContent>
                </v:textbox>
                <w10:wrap type="none"/>
                <w10:anchorlock/>
              </v:shape>
            </w:pict>
          </mc:Fallback>
        </mc:AlternateContent>
      </w:r>
    </w:p>
    <w:p w:rsidR="0033774E" w:rsidRDefault="00C90732">
      <w:pPr>
        <w:rPr>
          <w:lang w:val="en-GB" w:eastAsia="zh-CN"/>
        </w:rPr>
      </w:pPr>
      <w:r>
        <w:rPr>
          <w:lang w:val="en-GB" w:eastAsia="zh-CN"/>
        </w:rPr>
        <w:t xml:space="preserve">Approach 1 is the ordinary way as we adopted in Rel-15, which should be also applied for 2-step RACH features. </w:t>
      </w:r>
    </w:p>
    <w:p w:rsidR="0033774E" w:rsidRDefault="00C90732">
      <w:pPr>
        <w:rPr>
          <w:lang w:eastAsia="zh-CN"/>
        </w:rPr>
      </w:pPr>
      <w:r>
        <w:rPr>
          <w:lang w:val="en-GB" w:eastAsia="zh-CN"/>
        </w:rPr>
        <w:t>The basic feature group includes multiple components that are essential for the UE to support the sub-feature, and thus 1 capability bit is enough to signal the supportive of the basic feature group as a whole. Other optional feature groups can use one or multiple of the above basic feature groups as prerequisite. One thing could be further discussed is whether to list all the detailed components</w:t>
      </w:r>
      <w:r w:rsidR="0048201B">
        <w:rPr>
          <w:lang w:val="en-GB" w:eastAsia="zh-CN"/>
        </w:rPr>
        <w:t xml:space="preserve"> (Alt.1)</w:t>
      </w:r>
      <w:r>
        <w:rPr>
          <w:lang w:val="en-GB" w:eastAsia="zh-CN"/>
        </w:rPr>
        <w:t xml:space="preserve"> or to use some simplified high-level description</w:t>
      </w:r>
      <w:r w:rsidR="0048201B">
        <w:rPr>
          <w:lang w:val="en-GB" w:eastAsia="zh-CN"/>
        </w:rPr>
        <w:t xml:space="preserve"> (Alt.2)</w:t>
      </w:r>
      <w:r>
        <w:rPr>
          <w:lang w:val="en-GB" w:eastAsia="zh-CN"/>
        </w:rPr>
        <w:t xml:space="preserve"> in the basic feature group. As we do not need to have separate signalling for each of the component in the basic feature group, our preference is to use a high-level description for the components in the basic feature group. For the details anyway the UE should follow the configurations and procedures in the specification.</w:t>
      </w:r>
    </w:p>
    <w:p w:rsidR="0033774E" w:rsidRDefault="00C90732">
      <w:pPr>
        <w:tabs>
          <w:tab w:val="left" w:pos="5380"/>
        </w:tabs>
        <w:rPr>
          <w:b/>
          <w:i/>
          <w:lang w:val="en-GB" w:eastAsia="zh-CN"/>
        </w:rPr>
      </w:pPr>
      <w:r>
        <w:rPr>
          <w:rFonts w:hint="eastAsia"/>
          <w:b/>
          <w:i/>
          <w:lang w:val="en-GB" w:eastAsia="zh-CN"/>
        </w:rPr>
        <w:t xml:space="preserve">Proposal 1: </w:t>
      </w:r>
      <w:r>
        <w:rPr>
          <w:b/>
          <w:i/>
          <w:lang w:val="en-GB" w:eastAsia="zh-CN"/>
        </w:rPr>
        <w:tab/>
      </w:r>
    </w:p>
    <w:p w:rsidR="0033774E" w:rsidRDefault="00C90732">
      <w:pPr>
        <w:pStyle w:val="ListParagraph1"/>
        <w:numPr>
          <w:ilvl w:val="0"/>
          <w:numId w:val="10"/>
        </w:numPr>
        <w:rPr>
          <w:b/>
          <w:i/>
          <w:lang w:val="en-US" w:eastAsia="zh-CN"/>
        </w:rPr>
      </w:pPr>
      <w:r>
        <w:rPr>
          <w:b/>
          <w:i/>
          <w:lang w:eastAsia="zh-CN"/>
        </w:rPr>
        <w:t>A basic feature group for 2-step RACH is defined</w:t>
      </w:r>
    </w:p>
    <w:p w:rsidR="0033774E" w:rsidRDefault="00C90732">
      <w:pPr>
        <w:pStyle w:val="ListParagraph1"/>
        <w:numPr>
          <w:ilvl w:val="1"/>
          <w:numId w:val="10"/>
        </w:numPr>
        <w:rPr>
          <w:b/>
          <w:i/>
          <w:lang w:val="en-US" w:eastAsia="zh-CN"/>
        </w:rPr>
      </w:pPr>
      <w:r>
        <w:rPr>
          <w:b/>
          <w:i/>
          <w:lang w:eastAsia="zh-CN"/>
        </w:rPr>
        <w:t>The basic feature group includes multiple components corresponding to the essential functions to support the 2-step RACH feature.</w:t>
      </w:r>
    </w:p>
    <w:p w:rsidR="0033774E" w:rsidRDefault="00C90732">
      <w:pPr>
        <w:pStyle w:val="ListParagraph1"/>
        <w:numPr>
          <w:ilvl w:val="1"/>
          <w:numId w:val="10"/>
        </w:numPr>
        <w:rPr>
          <w:b/>
          <w:i/>
          <w:lang w:val="en-US" w:eastAsia="zh-CN"/>
        </w:rPr>
      </w:pPr>
      <w:r>
        <w:rPr>
          <w:b/>
          <w:i/>
          <w:lang w:val="en-US" w:eastAsia="zh-CN"/>
        </w:rPr>
        <w:t xml:space="preserve">A </w:t>
      </w:r>
      <w:r>
        <w:rPr>
          <w:b/>
          <w:i/>
          <w:lang w:eastAsia="zh-CN"/>
        </w:rPr>
        <w:t>high-level description of the components in the basic feature group is preferred</w:t>
      </w:r>
      <w:r w:rsidR="00320D03">
        <w:rPr>
          <w:rFonts w:eastAsiaTheme="minorEastAsia"/>
          <w:b/>
          <w:i/>
          <w:lang w:eastAsia="zh-CN"/>
        </w:rPr>
        <w:t>, i.e. Alt.2 is adopted</w:t>
      </w:r>
      <w:r>
        <w:rPr>
          <w:b/>
          <w:i/>
          <w:lang w:eastAsia="zh-CN"/>
        </w:rPr>
        <w:t>. For the details the UE follows the configurations and procedures in the specification.</w:t>
      </w:r>
    </w:p>
    <w:p w:rsidR="0033774E" w:rsidRDefault="00C90732">
      <w:pPr>
        <w:pStyle w:val="ListParagraph1"/>
        <w:numPr>
          <w:ilvl w:val="1"/>
          <w:numId w:val="10"/>
        </w:numPr>
        <w:rPr>
          <w:b/>
          <w:i/>
          <w:lang w:val="en-US" w:eastAsia="zh-CN"/>
        </w:rPr>
      </w:pPr>
      <w:r>
        <w:rPr>
          <w:b/>
          <w:i/>
          <w:lang w:eastAsia="zh-CN"/>
        </w:rPr>
        <w:t xml:space="preserve">1 capability bit </w:t>
      </w:r>
      <w:r>
        <w:rPr>
          <w:b/>
          <w:i/>
          <w:lang w:val="en-US" w:eastAsia="zh-CN"/>
        </w:rPr>
        <w:t xml:space="preserve">signalling </w:t>
      </w:r>
      <w:r>
        <w:rPr>
          <w:b/>
          <w:i/>
          <w:lang w:eastAsia="zh-CN"/>
        </w:rPr>
        <w:t xml:space="preserve">is used to </w:t>
      </w:r>
      <w:r>
        <w:rPr>
          <w:rFonts w:hint="eastAsia"/>
          <w:b/>
          <w:i/>
          <w:lang w:val="en-US" w:eastAsia="zh-CN"/>
        </w:rPr>
        <w:t xml:space="preserve">indicate </w:t>
      </w:r>
      <w:r>
        <w:rPr>
          <w:b/>
          <w:i/>
          <w:lang w:eastAsia="zh-CN"/>
        </w:rPr>
        <w:t>the supportive of the basic feature group</w:t>
      </w:r>
      <w:r>
        <w:rPr>
          <w:b/>
          <w:i/>
          <w:lang w:val="en-US" w:eastAsia="zh-CN"/>
        </w:rPr>
        <w:t>.</w:t>
      </w:r>
    </w:p>
    <w:p w:rsidR="0033774E" w:rsidRDefault="0033774E">
      <w:pPr>
        <w:rPr>
          <w:lang w:val="en-GB" w:eastAsia="zh-CN"/>
        </w:rPr>
      </w:pPr>
    </w:p>
    <w:p w:rsidR="0033774E" w:rsidRDefault="00C90732">
      <w:pPr>
        <w:pStyle w:val="Heading1"/>
        <w:rPr>
          <w:lang w:eastAsia="zh-CN"/>
        </w:rPr>
      </w:pPr>
      <w:r>
        <w:rPr>
          <w:rFonts w:hint="eastAsia"/>
          <w:lang w:eastAsia="zh-CN"/>
        </w:rPr>
        <w:lastRenderedPageBreak/>
        <w:t>C</w:t>
      </w:r>
      <w:r>
        <w:rPr>
          <w:lang w:eastAsia="zh-CN"/>
        </w:rPr>
        <w:t>onclusion</w:t>
      </w:r>
    </w:p>
    <w:p w:rsidR="0033774E" w:rsidRDefault="00C90732">
      <w:pPr>
        <w:rPr>
          <w:lang w:val="en-GB" w:eastAsia="zh-CN"/>
        </w:rPr>
      </w:pPr>
      <w:r>
        <w:rPr>
          <w:rFonts w:hint="eastAsia"/>
          <w:lang w:val="en-GB" w:eastAsia="zh-CN"/>
        </w:rPr>
        <w:t>I</w:t>
      </w:r>
      <w:r>
        <w:rPr>
          <w:lang w:val="en-GB" w:eastAsia="zh-CN"/>
        </w:rPr>
        <w:t xml:space="preserve">n this contribution, the structure of 2-step RACH UE features has been discussed with the following proposal.   </w:t>
      </w:r>
    </w:p>
    <w:p w:rsidR="0033774E" w:rsidRDefault="00C90732">
      <w:pPr>
        <w:tabs>
          <w:tab w:val="left" w:pos="5380"/>
        </w:tabs>
        <w:rPr>
          <w:b/>
          <w:i/>
          <w:lang w:val="en-GB" w:eastAsia="zh-CN"/>
        </w:rPr>
      </w:pPr>
      <w:r>
        <w:rPr>
          <w:rFonts w:hint="eastAsia"/>
          <w:b/>
          <w:i/>
          <w:lang w:val="en-GB" w:eastAsia="zh-CN"/>
        </w:rPr>
        <w:t xml:space="preserve">Proposal 1: </w:t>
      </w:r>
      <w:r>
        <w:rPr>
          <w:b/>
          <w:i/>
          <w:lang w:val="en-GB" w:eastAsia="zh-CN"/>
        </w:rPr>
        <w:tab/>
      </w:r>
    </w:p>
    <w:p w:rsidR="0033774E" w:rsidRDefault="00C90732">
      <w:pPr>
        <w:pStyle w:val="ListParagraph1"/>
        <w:numPr>
          <w:ilvl w:val="0"/>
          <w:numId w:val="10"/>
        </w:numPr>
        <w:rPr>
          <w:b/>
          <w:i/>
          <w:lang w:val="en-US" w:eastAsia="zh-CN"/>
        </w:rPr>
      </w:pPr>
      <w:r>
        <w:rPr>
          <w:b/>
          <w:i/>
          <w:lang w:eastAsia="zh-CN"/>
        </w:rPr>
        <w:t>A basic feature group for 2-step RACH is defined</w:t>
      </w:r>
    </w:p>
    <w:p w:rsidR="0033774E" w:rsidRDefault="00C90732">
      <w:pPr>
        <w:pStyle w:val="ListParagraph1"/>
        <w:numPr>
          <w:ilvl w:val="1"/>
          <w:numId w:val="10"/>
        </w:numPr>
        <w:rPr>
          <w:b/>
          <w:i/>
          <w:lang w:val="en-US" w:eastAsia="zh-CN"/>
        </w:rPr>
      </w:pPr>
      <w:r>
        <w:rPr>
          <w:b/>
          <w:i/>
          <w:lang w:eastAsia="zh-CN"/>
        </w:rPr>
        <w:t>The basic feature group includes multiple components corresponding to the essential functions to support the 2-step RACH feature.</w:t>
      </w:r>
    </w:p>
    <w:p w:rsidR="0033774E" w:rsidRDefault="00C90732">
      <w:pPr>
        <w:pStyle w:val="ListParagraph1"/>
        <w:numPr>
          <w:ilvl w:val="1"/>
          <w:numId w:val="10"/>
        </w:numPr>
        <w:rPr>
          <w:b/>
          <w:i/>
          <w:lang w:val="en-US" w:eastAsia="zh-CN"/>
        </w:rPr>
      </w:pPr>
      <w:r>
        <w:rPr>
          <w:b/>
          <w:i/>
          <w:lang w:val="en-US" w:eastAsia="zh-CN"/>
        </w:rPr>
        <w:t xml:space="preserve">A </w:t>
      </w:r>
      <w:r>
        <w:rPr>
          <w:b/>
          <w:i/>
          <w:lang w:eastAsia="zh-CN"/>
        </w:rPr>
        <w:t>high-level description of the components in the basic feature group is preferred</w:t>
      </w:r>
      <w:r w:rsidR="00320D03">
        <w:rPr>
          <w:rFonts w:eastAsiaTheme="minorEastAsia"/>
          <w:b/>
          <w:i/>
          <w:lang w:eastAsia="zh-CN"/>
        </w:rPr>
        <w:t>, i.e. Alt.2 is adopted</w:t>
      </w:r>
      <w:r>
        <w:rPr>
          <w:b/>
          <w:i/>
          <w:lang w:eastAsia="zh-CN"/>
        </w:rPr>
        <w:t>. For the details the UE follows the configurations and procedures in the specification.</w:t>
      </w:r>
    </w:p>
    <w:p w:rsidR="0033774E" w:rsidRDefault="00C90732">
      <w:pPr>
        <w:pStyle w:val="ListParagraph1"/>
        <w:numPr>
          <w:ilvl w:val="1"/>
          <w:numId w:val="10"/>
        </w:numPr>
        <w:rPr>
          <w:b/>
          <w:i/>
          <w:lang w:val="en-US" w:eastAsia="zh-CN"/>
        </w:rPr>
      </w:pPr>
      <w:r>
        <w:rPr>
          <w:b/>
          <w:i/>
          <w:lang w:eastAsia="zh-CN"/>
        </w:rPr>
        <w:t xml:space="preserve">1 capability bit </w:t>
      </w:r>
      <w:r>
        <w:rPr>
          <w:b/>
          <w:i/>
          <w:lang w:val="en-US" w:eastAsia="zh-CN"/>
        </w:rPr>
        <w:t xml:space="preserve">signalling </w:t>
      </w:r>
      <w:r>
        <w:rPr>
          <w:b/>
          <w:i/>
          <w:lang w:eastAsia="zh-CN"/>
        </w:rPr>
        <w:t xml:space="preserve">is used to </w:t>
      </w:r>
      <w:r>
        <w:rPr>
          <w:rFonts w:hint="eastAsia"/>
          <w:b/>
          <w:i/>
          <w:lang w:val="en-US" w:eastAsia="zh-CN"/>
        </w:rPr>
        <w:t xml:space="preserve">indicate </w:t>
      </w:r>
      <w:r>
        <w:rPr>
          <w:b/>
          <w:i/>
          <w:lang w:eastAsia="zh-CN"/>
        </w:rPr>
        <w:t xml:space="preserve">the supportive of the basic feature group </w:t>
      </w:r>
      <w:r>
        <w:rPr>
          <w:b/>
          <w:i/>
          <w:lang w:val="en-US" w:eastAsia="zh-CN"/>
        </w:rPr>
        <w:t>.</w:t>
      </w:r>
    </w:p>
    <w:p w:rsidR="0033774E" w:rsidRDefault="0033774E">
      <w:pPr>
        <w:rPr>
          <w:lang w:eastAsia="zh-CN"/>
        </w:rPr>
      </w:pPr>
    </w:p>
    <w:p w:rsidR="0033774E" w:rsidRDefault="00C90732">
      <w:pPr>
        <w:pStyle w:val="Heading1"/>
        <w:rPr>
          <w:lang w:eastAsia="zh-CN"/>
        </w:rPr>
      </w:pPr>
      <w:r>
        <w:rPr>
          <w:rFonts w:hint="eastAsia"/>
          <w:lang w:eastAsia="zh-CN"/>
        </w:rPr>
        <w:t>R</w:t>
      </w:r>
      <w:r>
        <w:rPr>
          <w:lang w:eastAsia="zh-CN"/>
        </w:rPr>
        <w:t>eference</w:t>
      </w:r>
    </w:p>
    <w:p w:rsidR="0033774E" w:rsidRDefault="00C90732">
      <w:pPr>
        <w:pStyle w:val="References"/>
        <w:rPr>
          <w:lang w:eastAsia="zh-CN"/>
        </w:rPr>
      </w:pPr>
      <w:r>
        <w:rPr>
          <w:lang w:eastAsia="zh-CN"/>
        </w:rPr>
        <w:t>R1-2001484, RAN1 UE features list for Rel-16 NR after RAN1#100-E</w:t>
      </w:r>
    </w:p>
    <w:p w:rsidR="0033774E" w:rsidRDefault="0033774E">
      <w:pPr>
        <w:overflowPunct/>
        <w:autoSpaceDE/>
        <w:autoSpaceDN/>
        <w:adjustRightInd/>
        <w:spacing w:after="0"/>
        <w:jc w:val="left"/>
        <w:textAlignment w:val="auto"/>
        <w:rPr>
          <w:szCs w:val="16"/>
          <w:lang w:eastAsia="zh-CN"/>
        </w:rPr>
      </w:pPr>
    </w:p>
    <w:sectPr w:rsidR="0033774E">
      <w:headerReference w:type="even" r:id="rId13"/>
      <w:footerReference w:type="even" r:id="rId14"/>
      <w:footerReference w:type="default" r:id="rId15"/>
      <w:footnotePr>
        <w:numRestart w:val="eachSect"/>
      </w:footnotePr>
      <w:type w:val="continuous"/>
      <w:pgSz w:w="11906" w:h="16838"/>
      <w:pgMar w:top="1418" w:right="1134" w:bottom="1077"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12E" w:rsidRDefault="001D312E">
      <w:pPr>
        <w:spacing w:after="0"/>
      </w:pPr>
      <w:r>
        <w:separator/>
      </w:r>
    </w:p>
  </w:endnote>
  <w:endnote w:type="continuationSeparator" w:id="0">
    <w:p w:rsidR="001D312E" w:rsidRDefault="001D31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74E" w:rsidRDefault="00C907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3774E" w:rsidRDefault="0033774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74E" w:rsidRDefault="00C90732">
    <w:pPr>
      <w:pStyle w:val="Footer"/>
      <w:ind w:right="360"/>
    </w:pPr>
    <w:r>
      <w:rPr>
        <w:rStyle w:val="PageNumber"/>
      </w:rPr>
      <w:fldChar w:fldCharType="begin"/>
    </w:r>
    <w:r>
      <w:rPr>
        <w:rStyle w:val="PageNumber"/>
      </w:rPr>
      <w:instrText xml:space="preserve"> PAGE </w:instrText>
    </w:r>
    <w:r>
      <w:rPr>
        <w:rStyle w:val="PageNumber"/>
      </w:rPr>
      <w:fldChar w:fldCharType="separate"/>
    </w:r>
    <w:r w:rsidR="007C389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389A">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12E" w:rsidRDefault="001D312E">
      <w:pPr>
        <w:spacing w:after="0"/>
      </w:pPr>
      <w:r>
        <w:separator/>
      </w:r>
    </w:p>
  </w:footnote>
  <w:footnote w:type="continuationSeparator" w:id="0">
    <w:p w:rsidR="001D312E" w:rsidRDefault="001D312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74E" w:rsidRDefault="00C9073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AD33A62"/>
    <w:multiLevelType w:val="multilevel"/>
    <w:tmpl w:val="1AD33A6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50971D5"/>
    <w:multiLevelType w:val="multilevel"/>
    <w:tmpl w:val="250971D5"/>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52A0545"/>
    <w:multiLevelType w:val="multilevel"/>
    <w:tmpl w:val="252A054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34257F5"/>
    <w:multiLevelType w:val="multilevel"/>
    <w:tmpl w:val="534257F5"/>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9"/>
  </w:num>
  <w:num w:numId="4">
    <w:abstractNumId w:val="6"/>
  </w:num>
  <w:num w:numId="5">
    <w:abstractNumId w:val="11"/>
  </w:num>
  <w:num w:numId="6">
    <w:abstractNumId w:val="8"/>
  </w:num>
  <w:num w:numId="7">
    <w:abstractNumId w:val="5"/>
  </w:num>
  <w:num w:numId="8">
    <w:abstractNumId w:val="10"/>
  </w:num>
  <w:num w:numId="9">
    <w:abstractNumId w:val="7"/>
  </w:num>
  <w:num w:numId="10">
    <w:abstractNumId w:val="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ttachedTemplate r:id="rId1"/>
  <w:linkStyle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06"/>
    <w:rsid w:val="000003F7"/>
    <w:rsid w:val="000004CA"/>
    <w:rsid w:val="00000515"/>
    <w:rsid w:val="00000ECA"/>
    <w:rsid w:val="00000F59"/>
    <w:rsid w:val="00000F7F"/>
    <w:rsid w:val="00001375"/>
    <w:rsid w:val="0000196A"/>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01"/>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03"/>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847"/>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2BE1"/>
    <w:rsid w:val="00033EB8"/>
    <w:rsid w:val="00034882"/>
    <w:rsid w:val="000349B7"/>
    <w:rsid w:val="0003540B"/>
    <w:rsid w:val="00035574"/>
    <w:rsid w:val="000357ED"/>
    <w:rsid w:val="00035D1F"/>
    <w:rsid w:val="00036199"/>
    <w:rsid w:val="000365A2"/>
    <w:rsid w:val="0003698E"/>
    <w:rsid w:val="00036A2E"/>
    <w:rsid w:val="00036B4D"/>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2F8"/>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78"/>
    <w:rsid w:val="000A64D8"/>
    <w:rsid w:val="000A6723"/>
    <w:rsid w:val="000A6788"/>
    <w:rsid w:val="000A68A9"/>
    <w:rsid w:val="000A6992"/>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67D"/>
    <w:rsid w:val="000B59AA"/>
    <w:rsid w:val="000B5A06"/>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0E3"/>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9"/>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7D5"/>
    <w:rsid w:val="00122842"/>
    <w:rsid w:val="001232D2"/>
    <w:rsid w:val="0012345C"/>
    <w:rsid w:val="00123486"/>
    <w:rsid w:val="00123975"/>
    <w:rsid w:val="00123A3D"/>
    <w:rsid w:val="00123DED"/>
    <w:rsid w:val="00124033"/>
    <w:rsid w:val="0012404B"/>
    <w:rsid w:val="0012467D"/>
    <w:rsid w:val="001246EC"/>
    <w:rsid w:val="001248A3"/>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0E48"/>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3A2"/>
    <w:rsid w:val="001508E1"/>
    <w:rsid w:val="001510ED"/>
    <w:rsid w:val="001516D9"/>
    <w:rsid w:val="0015171A"/>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00B"/>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AFD"/>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277"/>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44B"/>
    <w:rsid w:val="00185E59"/>
    <w:rsid w:val="00185F10"/>
    <w:rsid w:val="00185FDA"/>
    <w:rsid w:val="00186395"/>
    <w:rsid w:val="001863E3"/>
    <w:rsid w:val="0018695F"/>
    <w:rsid w:val="00186B4D"/>
    <w:rsid w:val="00187147"/>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183F"/>
    <w:rsid w:val="001B21AD"/>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ABE"/>
    <w:rsid w:val="001C0FF5"/>
    <w:rsid w:val="001C12A0"/>
    <w:rsid w:val="001C15AC"/>
    <w:rsid w:val="001C16A9"/>
    <w:rsid w:val="001C184B"/>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12E"/>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67"/>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5EDC"/>
    <w:rsid w:val="001E6313"/>
    <w:rsid w:val="001E643D"/>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C0"/>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200"/>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415"/>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397"/>
    <w:rsid w:val="00231477"/>
    <w:rsid w:val="002314EE"/>
    <w:rsid w:val="00231731"/>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74"/>
    <w:rsid w:val="00251F5E"/>
    <w:rsid w:val="00251F78"/>
    <w:rsid w:val="0025204B"/>
    <w:rsid w:val="002524F6"/>
    <w:rsid w:val="00252AD4"/>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73"/>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519"/>
    <w:rsid w:val="002706CC"/>
    <w:rsid w:val="002708DA"/>
    <w:rsid w:val="00270C09"/>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4AE"/>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55F"/>
    <w:rsid w:val="002B694E"/>
    <w:rsid w:val="002B6D31"/>
    <w:rsid w:val="002B70A2"/>
    <w:rsid w:val="002B7D56"/>
    <w:rsid w:val="002C04C2"/>
    <w:rsid w:val="002C0818"/>
    <w:rsid w:val="002C08A0"/>
    <w:rsid w:val="002C0D11"/>
    <w:rsid w:val="002C1045"/>
    <w:rsid w:val="002C163A"/>
    <w:rsid w:val="002C16E0"/>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7B3"/>
    <w:rsid w:val="002D5DEA"/>
    <w:rsid w:val="002D6064"/>
    <w:rsid w:val="002D6127"/>
    <w:rsid w:val="002D61BE"/>
    <w:rsid w:val="002D61F0"/>
    <w:rsid w:val="002D6624"/>
    <w:rsid w:val="002D7235"/>
    <w:rsid w:val="002D72CD"/>
    <w:rsid w:val="002D76E8"/>
    <w:rsid w:val="002D78EF"/>
    <w:rsid w:val="002D7952"/>
    <w:rsid w:val="002D7AAA"/>
    <w:rsid w:val="002E0915"/>
    <w:rsid w:val="002E0E5E"/>
    <w:rsid w:val="002E0E94"/>
    <w:rsid w:val="002E1302"/>
    <w:rsid w:val="002E15A5"/>
    <w:rsid w:val="002E15D5"/>
    <w:rsid w:val="002E16BC"/>
    <w:rsid w:val="002E19AD"/>
    <w:rsid w:val="002E1BA1"/>
    <w:rsid w:val="002E1E06"/>
    <w:rsid w:val="002E1EBD"/>
    <w:rsid w:val="002E25D2"/>
    <w:rsid w:val="002E2738"/>
    <w:rsid w:val="002E2923"/>
    <w:rsid w:val="002E2A76"/>
    <w:rsid w:val="002E306D"/>
    <w:rsid w:val="002E3310"/>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710"/>
    <w:rsid w:val="002F09C0"/>
    <w:rsid w:val="002F0ADB"/>
    <w:rsid w:val="002F0DD8"/>
    <w:rsid w:val="002F0E34"/>
    <w:rsid w:val="002F1252"/>
    <w:rsid w:val="002F15DD"/>
    <w:rsid w:val="002F22C3"/>
    <w:rsid w:val="002F2AE0"/>
    <w:rsid w:val="002F31C4"/>
    <w:rsid w:val="002F322F"/>
    <w:rsid w:val="002F3AEE"/>
    <w:rsid w:val="002F3C04"/>
    <w:rsid w:val="002F3ED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6A7"/>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D03"/>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645"/>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0BA"/>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1BA"/>
    <w:rsid w:val="0033774E"/>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026"/>
    <w:rsid w:val="0034511B"/>
    <w:rsid w:val="0034528D"/>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6C3"/>
    <w:rsid w:val="00352759"/>
    <w:rsid w:val="00352828"/>
    <w:rsid w:val="00352952"/>
    <w:rsid w:val="00352DAE"/>
    <w:rsid w:val="003530A0"/>
    <w:rsid w:val="003531B0"/>
    <w:rsid w:val="003532D2"/>
    <w:rsid w:val="003534B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CD"/>
    <w:rsid w:val="003604DB"/>
    <w:rsid w:val="003617B5"/>
    <w:rsid w:val="0036185C"/>
    <w:rsid w:val="00361B1A"/>
    <w:rsid w:val="00362238"/>
    <w:rsid w:val="0036227D"/>
    <w:rsid w:val="0036262C"/>
    <w:rsid w:val="00362C5A"/>
    <w:rsid w:val="00362E0D"/>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1C1"/>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CB9"/>
    <w:rsid w:val="00377D10"/>
    <w:rsid w:val="00377D86"/>
    <w:rsid w:val="00380543"/>
    <w:rsid w:val="00380602"/>
    <w:rsid w:val="00380892"/>
    <w:rsid w:val="00380BBD"/>
    <w:rsid w:val="00380FF5"/>
    <w:rsid w:val="0038158E"/>
    <w:rsid w:val="00382182"/>
    <w:rsid w:val="003821E7"/>
    <w:rsid w:val="00382654"/>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8AE"/>
    <w:rsid w:val="00386A15"/>
    <w:rsid w:val="00386B71"/>
    <w:rsid w:val="0038702D"/>
    <w:rsid w:val="003870BC"/>
    <w:rsid w:val="0038732E"/>
    <w:rsid w:val="003875A7"/>
    <w:rsid w:val="00387675"/>
    <w:rsid w:val="00387771"/>
    <w:rsid w:val="0038780F"/>
    <w:rsid w:val="00387820"/>
    <w:rsid w:val="00387866"/>
    <w:rsid w:val="00387868"/>
    <w:rsid w:val="00387B2B"/>
    <w:rsid w:val="00387D4C"/>
    <w:rsid w:val="00390449"/>
    <w:rsid w:val="003904B1"/>
    <w:rsid w:val="003907D2"/>
    <w:rsid w:val="00390C56"/>
    <w:rsid w:val="00390D34"/>
    <w:rsid w:val="0039122C"/>
    <w:rsid w:val="0039124D"/>
    <w:rsid w:val="00391354"/>
    <w:rsid w:val="00391796"/>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5F0A"/>
    <w:rsid w:val="003A632A"/>
    <w:rsid w:val="003A6330"/>
    <w:rsid w:val="003A6619"/>
    <w:rsid w:val="003A6CC0"/>
    <w:rsid w:val="003A71E1"/>
    <w:rsid w:val="003A76A9"/>
    <w:rsid w:val="003A7747"/>
    <w:rsid w:val="003A7C23"/>
    <w:rsid w:val="003A7DDE"/>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00F"/>
    <w:rsid w:val="003B6359"/>
    <w:rsid w:val="003B6FCB"/>
    <w:rsid w:val="003B7020"/>
    <w:rsid w:val="003B7294"/>
    <w:rsid w:val="003B7660"/>
    <w:rsid w:val="003B76FE"/>
    <w:rsid w:val="003B7B13"/>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05"/>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26B"/>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9EC"/>
    <w:rsid w:val="003F2A56"/>
    <w:rsid w:val="003F2A8D"/>
    <w:rsid w:val="003F2E99"/>
    <w:rsid w:val="003F348A"/>
    <w:rsid w:val="003F4501"/>
    <w:rsid w:val="003F4933"/>
    <w:rsid w:val="003F4977"/>
    <w:rsid w:val="003F4A21"/>
    <w:rsid w:val="003F4E1C"/>
    <w:rsid w:val="003F536B"/>
    <w:rsid w:val="003F560A"/>
    <w:rsid w:val="003F586D"/>
    <w:rsid w:val="003F62B4"/>
    <w:rsid w:val="003F62F9"/>
    <w:rsid w:val="003F647B"/>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79D"/>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C8"/>
    <w:rsid w:val="00412263"/>
    <w:rsid w:val="00412301"/>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7B0"/>
    <w:rsid w:val="00430D78"/>
    <w:rsid w:val="00430F53"/>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35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C82"/>
    <w:rsid w:val="00451E88"/>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75A"/>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31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2F4"/>
    <w:rsid w:val="0047041E"/>
    <w:rsid w:val="0047045E"/>
    <w:rsid w:val="00470628"/>
    <w:rsid w:val="00470750"/>
    <w:rsid w:val="00470893"/>
    <w:rsid w:val="00470A49"/>
    <w:rsid w:val="0047166D"/>
    <w:rsid w:val="00471856"/>
    <w:rsid w:val="00471DB0"/>
    <w:rsid w:val="00471FAB"/>
    <w:rsid w:val="0047253B"/>
    <w:rsid w:val="00472ACB"/>
    <w:rsid w:val="004735E8"/>
    <w:rsid w:val="0047372B"/>
    <w:rsid w:val="004737D3"/>
    <w:rsid w:val="00473F5F"/>
    <w:rsid w:val="0047410D"/>
    <w:rsid w:val="0047475B"/>
    <w:rsid w:val="00475260"/>
    <w:rsid w:val="0047539C"/>
    <w:rsid w:val="004753D8"/>
    <w:rsid w:val="004755D5"/>
    <w:rsid w:val="00475660"/>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01B"/>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5F7"/>
    <w:rsid w:val="004856EF"/>
    <w:rsid w:val="0048598C"/>
    <w:rsid w:val="00485998"/>
    <w:rsid w:val="004859D0"/>
    <w:rsid w:val="00485A0B"/>
    <w:rsid w:val="00485E8A"/>
    <w:rsid w:val="004862DE"/>
    <w:rsid w:val="004864FB"/>
    <w:rsid w:val="004869B5"/>
    <w:rsid w:val="00487866"/>
    <w:rsid w:val="00487A43"/>
    <w:rsid w:val="00487F28"/>
    <w:rsid w:val="004900B3"/>
    <w:rsid w:val="00490185"/>
    <w:rsid w:val="00490532"/>
    <w:rsid w:val="00490649"/>
    <w:rsid w:val="0049093B"/>
    <w:rsid w:val="00490E94"/>
    <w:rsid w:val="00490EE3"/>
    <w:rsid w:val="004911FB"/>
    <w:rsid w:val="00491294"/>
    <w:rsid w:val="0049143D"/>
    <w:rsid w:val="004917C1"/>
    <w:rsid w:val="004918A0"/>
    <w:rsid w:val="004921F3"/>
    <w:rsid w:val="004924E5"/>
    <w:rsid w:val="00492597"/>
    <w:rsid w:val="00492619"/>
    <w:rsid w:val="004927F3"/>
    <w:rsid w:val="00492C2F"/>
    <w:rsid w:val="0049349F"/>
    <w:rsid w:val="004935A4"/>
    <w:rsid w:val="004938AA"/>
    <w:rsid w:val="00493D08"/>
    <w:rsid w:val="004949D8"/>
    <w:rsid w:val="00494E75"/>
    <w:rsid w:val="00495071"/>
    <w:rsid w:val="00495F72"/>
    <w:rsid w:val="004961DB"/>
    <w:rsid w:val="0049653E"/>
    <w:rsid w:val="00496BEF"/>
    <w:rsid w:val="00496DC2"/>
    <w:rsid w:val="00496E38"/>
    <w:rsid w:val="00497404"/>
    <w:rsid w:val="00497C03"/>
    <w:rsid w:val="00497CD2"/>
    <w:rsid w:val="004A01E1"/>
    <w:rsid w:val="004A01E9"/>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953"/>
    <w:rsid w:val="004B1313"/>
    <w:rsid w:val="004B1341"/>
    <w:rsid w:val="004B1489"/>
    <w:rsid w:val="004B169E"/>
    <w:rsid w:val="004B19BB"/>
    <w:rsid w:val="004B1C42"/>
    <w:rsid w:val="004B228D"/>
    <w:rsid w:val="004B24DB"/>
    <w:rsid w:val="004B269E"/>
    <w:rsid w:val="004B2700"/>
    <w:rsid w:val="004B2B31"/>
    <w:rsid w:val="004B2C33"/>
    <w:rsid w:val="004B2CDB"/>
    <w:rsid w:val="004B2DE8"/>
    <w:rsid w:val="004B2F6E"/>
    <w:rsid w:val="004B3B53"/>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AA"/>
    <w:rsid w:val="004E00F1"/>
    <w:rsid w:val="004E03BE"/>
    <w:rsid w:val="004E071E"/>
    <w:rsid w:val="004E0827"/>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0FC"/>
    <w:rsid w:val="005033EE"/>
    <w:rsid w:val="00503751"/>
    <w:rsid w:val="0050377B"/>
    <w:rsid w:val="005038A7"/>
    <w:rsid w:val="0050398B"/>
    <w:rsid w:val="00503FAD"/>
    <w:rsid w:val="00504639"/>
    <w:rsid w:val="0050470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5AD"/>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14"/>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852"/>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74E"/>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13"/>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386"/>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77FBF"/>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263"/>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8CD"/>
    <w:rsid w:val="005959F7"/>
    <w:rsid w:val="00595A46"/>
    <w:rsid w:val="00595DA2"/>
    <w:rsid w:val="00595E51"/>
    <w:rsid w:val="00595E99"/>
    <w:rsid w:val="0059602A"/>
    <w:rsid w:val="0059628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48D9"/>
    <w:rsid w:val="005A511E"/>
    <w:rsid w:val="005A53A4"/>
    <w:rsid w:val="005A54DF"/>
    <w:rsid w:val="005A588D"/>
    <w:rsid w:val="005A59CF"/>
    <w:rsid w:val="005A6223"/>
    <w:rsid w:val="005A65E0"/>
    <w:rsid w:val="005A6A3A"/>
    <w:rsid w:val="005A6BB3"/>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43"/>
    <w:rsid w:val="005B2EB8"/>
    <w:rsid w:val="005B355C"/>
    <w:rsid w:val="005B37BE"/>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22A5"/>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C2"/>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5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3CD0"/>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C30"/>
    <w:rsid w:val="00643DCD"/>
    <w:rsid w:val="00644200"/>
    <w:rsid w:val="0064428B"/>
    <w:rsid w:val="006443C6"/>
    <w:rsid w:val="00644511"/>
    <w:rsid w:val="0064486C"/>
    <w:rsid w:val="00644AB6"/>
    <w:rsid w:val="00644E60"/>
    <w:rsid w:val="00645190"/>
    <w:rsid w:val="00645ACC"/>
    <w:rsid w:val="0064615B"/>
    <w:rsid w:val="006466B5"/>
    <w:rsid w:val="00646C3A"/>
    <w:rsid w:val="00646C84"/>
    <w:rsid w:val="00647231"/>
    <w:rsid w:val="006477A7"/>
    <w:rsid w:val="00647BB6"/>
    <w:rsid w:val="00647CB3"/>
    <w:rsid w:val="00650150"/>
    <w:rsid w:val="00650854"/>
    <w:rsid w:val="0065086F"/>
    <w:rsid w:val="00650AE7"/>
    <w:rsid w:val="00650D1E"/>
    <w:rsid w:val="00650D3F"/>
    <w:rsid w:val="00650EB1"/>
    <w:rsid w:val="00650EB8"/>
    <w:rsid w:val="00650F7C"/>
    <w:rsid w:val="00650FBE"/>
    <w:rsid w:val="006512E7"/>
    <w:rsid w:val="006513D5"/>
    <w:rsid w:val="0065175B"/>
    <w:rsid w:val="006518B1"/>
    <w:rsid w:val="00651AD3"/>
    <w:rsid w:val="00651B74"/>
    <w:rsid w:val="00651FA0"/>
    <w:rsid w:val="00652123"/>
    <w:rsid w:val="00652523"/>
    <w:rsid w:val="00652938"/>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642"/>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42A"/>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5AD"/>
    <w:rsid w:val="006979DC"/>
    <w:rsid w:val="00697C2C"/>
    <w:rsid w:val="00697E0B"/>
    <w:rsid w:val="00697F71"/>
    <w:rsid w:val="006A04D8"/>
    <w:rsid w:val="006A05EF"/>
    <w:rsid w:val="006A0942"/>
    <w:rsid w:val="006A097C"/>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A67"/>
    <w:rsid w:val="006B1DA2"/>
    <w:rsid w:val="006B1F5F"/>
    <w:rsid w:val="006B2008"/>
    <w:rsid w:val="006B2052"/>
    <w:rsid w:val="006B21E9"/>
    <w:rsid w:val="006B242D"/>
    <w:rsid w:val="006B2431"/>
    <w:rsid w:val="006B24F8"/>
    <w:rsid w:val="006B254D"/>
    <w:rsid w:val="006B2DF5"/>
    <w:rsid w:val="006B34DD"/>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6EE"/>
    <w:rsid w:val="006C7CAC"/>
    <w:rsid w:val="006C7FB9"/>
    <w:rsid w:val="006D0556"/>
    <w:rsid w:val="006D0846"/>
    <w:rsid w:val="006D0C09"/>
    <w:rsid w:val="006D0E7E"/>
    <w:rsid w:val="006D1A23"/>
    <w:rsid w:val="006D1DFA"/>
    <w:rsid w:val="006D1F1A"/>
    <w:rsid w:val="006D2039"/>
    <w:rsid w:val="006D21FF"/>
    <w:rsid w:val="006D2636"/>
    <w:rsid w:val="006D2861"/>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04"/>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177"/>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A56"/>
    <w:rsid w:val="00701B27"/>
    <w:rsid w:val="00701F10"/>
    <w:rsid w:val="00701F97"/>
    <w:rsid w:val="00701FBE"/>
    <w:rsid w:val="0070322C"/>
    <w:rsid w:val="007032E6"/>
    <w:rsid w:val="007032F0"/>
    <w:rsid w:val="00703488"/>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17A0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4EC9"/>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B46"/>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0D"/>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D03"/>
    <w:rsid w:val="00762FA7"/>
    <w:rsid w:val="00763055"/>
    <w:rsid w:val="00763170"/>
    <w:rsid w:val="00763314"/>
    <w:rsid w:val="00763432"/>
    <w:rsid w:val="00763448"/>
    <w:rsid w:val="00763DBE"/>
    <w:rsid w:val="00763EB7"/>
    <w:rsid w:val="00764043"/>
    <w:rsid w:val="00764EB8"/>
    <w:rsid w:val="00764F89"/>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82D"/>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5C22"/>
    <w:rsid w:val="0078618F"/>
    <w:rsid w:val="007861D1"/>
    <w:rsid w:val="00786272"/>
    <w:rsid w:val="007862B0"/>
    <w:rsid w:val="007864B2"/>
    <w:rsid w:val="007864F6"/>
    <w:rsid w:val="00786620"/>
    <w:rsid w:val="0078681A"/>
    <w:rsid w:val="007868B7"/>
    <w:rsid w:val="00786BC0"/>
    <w:rsid w:val="00786F8B"/>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6FC1"/>
    <w:rsid w:val="007A7202"/>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89A"/>
    <w:rsid w:val="007C3C91"/>
    <w:rsid w:val="007C3D88"/>
    <w:rsid w:val="007C3EE5"/>
    <w:rsid w:val="007C3F14"/>
    <w:rsid w:val="007C450E"/>
    <w:rsid w:val="007C46E3"/>
    <w:rsid w:val="007C4ACD"/>
    <w:rsid w:val="007C508D"/>
    <w:rsid w:val="007C515A"/>
    <w:rsid w:val="007C52ED"/>
    <w:rsid w:val="007C52F0"/>
    <w:rsid w:val="007C56CE"/>
    <w:rsid w:val="007C5CE6"/>
    <w:rsid w:val="007C5DB6"/>
    <w:rsid w:val="007C64BC"/>
    <w:rsid w:val="007C64BE"/>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705"/>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09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48D"/>
    <w:rsid w:val="007F05E0"/>
    <w:rsid w:val="007F0B77"/>
    <w:rsid w:val="007F0B82"/>
    <w:rsid w:val="007F0DD3"/>
    <w:rsid w:val="007F1083"/>
    <w:rsid w:val="007F18C0"/>
    <w:rsid w:val="007F21AA"/>
    <w:rsid w:val="007F2286"/>
    <w:rsid w:val="007F2453"/>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424"/>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CE1"/>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3D24"/>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26DC"/>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7"/>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84D"/>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85C"/>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20D"/>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078"/>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B4"/>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835"/>
    <w:rsid w:val="008E0CDD"/>
    <w:rsid w:val="008E0E89"/>
    <w:rsid w:val="008E0E8C"/>
    <w:rsid w:val="008E1217"/>
    <w:rsid w:val="008E15AC"/>
    <w:rsid w:val="008E1B6C"/>
    <w:rsid w:val="008E1FDF"/>
    <w:rsid w:val="008E2051"/>
    <w:rsid w:val="008E20D6"/>
    <w:rsid w:val="008E20EC"/>
    <w:rsid w:val="008E2192"/>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AB1"/>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974"/>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0F29"/>
    <w:rsid w:val="009011F3"/>
    <w:rsid w:val="009012C9"/>
    <w:rsid w:val="009012ED"/>
    <w:rsid w:val="00901837"/>
    <w:rsid w:val="00901845"/>
    <w:rsid w:val="00901B88"/>
    <w:rsid w:val="009022BC"/>
    <w:rsid w:val="0090255A"/>
    <w:rsid w:val="00902686"/>
    <w:rsid w:val="00902734"/>
    <w:rsid w:val="009027AE"/>
    <w:rsid w:val="00903281"/>
    <w:rsid w:val="009032F1"/>
    <w:rsid w:val="009039BE"/>
    <w:rsid w:val="009039EB"/>
    <w:rsid w:val="00903F0F"/>
    <w:rsid w:val="00903F59"/>
    <w:rsid w:val="009045C7"/>
    <w:rsid w:val="0090480E"/>
    <w:rsid w:val="00904A62"/>
    <w:rsid w:val="00904B6D"/>
    <w:rsid w:val="00904D35"/>
    <w:rsid w:val="00904E71"/>
    <w:rsid w:val="00904F13"/>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CC9"/>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9B1"/>
    <w:rsid w:val="00942A7F"/>
    <w:rsid w:val="00942BB8"/>
    <w:rsid w:val="00942BC8"/>
    <w:rsid w:val="00942E21"/>
    <w:rsid w:val="00942EF9"/>
    <w:rsid w:val="0094335F"/>
    <w:rsid w:val="0094376F"/>
    <w:rsid w:val="00943B79"/>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798"/>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B80"/>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5E8"/>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86"/>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42B"/>
    <w:rsid w:val="009E3644"/>
    <w:rsid w:val="009E3759"/>
    <w:rsid w:val="009E3790"/>
    <w:rsid w:val="009E3C31"/>
    <w:rsid w:val="009E3E19"/>
    <w:rsid w:val="009E457F"/>
    <w:rsid w:val="009E4D00"/>
    <w:rsid w:val="009E4FCC"/>
    <w:rsid w:val="009E5656"/>
    <w:rsid w:val="009E5AB4"/>
    <w:rsid w:val="009E60C7"/>
    <w:rsid w:val="009E641D"/>
    <w:rsid w:val="009E6463"/>
    <w:rsid w:val="009E6A27"/>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4EDA"/>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C01"/>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914"/>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246"/>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BB"/>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4D9"/>
    <w:rsid w:val="00A37A59"/>
    <w:rsid w:val="00A37E05"/>
    <w:rsid w:val="00A40531"/>
    <w:rsid w:val="00A40660"/>
    <w:rsid w:val="00A40C1E"/>
    <w:rsid w:val="00A4123C"/>
    <w:rsid w:val="00A41821"/>
    <w:rsid w:val="00A41C5C"/>
    <w:rsid w:val="00A41D7F"/>
    <w:rsid w:val="00A41DC3"/>
    <w:rsid w:val="00A41EF0"/>
    <w:rsid w:val="00A422A2"/>
    <w:rsid w:val="00A424EE"/>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5F0"/>
    <w:rsid w:val="00A46F5A"/>
    <w:rsid w:val="00A46FAD"/>
    <w:rsid w:val="00A47B46"/>
    <w:rsid w:val="00A47B4B"/>
    <w:rsid w:val="00A47E85"/>
    <w:rsid w:val="00A50277"/>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A78"/>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BC"/>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639"/>
    <w:rsid w:val="00A66851"/>
    <w:rsid w:val="00A669D6"/>
    <w:rsid w:val="00A66A9B"/>
    <w:rsid w:val="00A6743F"/>
    <w:rsid w:val="00A677C1"/>
    <w:rsid w:val="00A67A8E"/>
    <w:rsid w:val="00A67AC6"/>
    <w:rsid w:val="00A700BA"/>
    <w:rsid w:val="00A70A35"/>
    <w:rsid w:val="00A7141F"/>
    <w:rsid w:val="00A71D6B"/>
    <w:rsid w:val="00A71F00"/>
    <w:rsid w:val="00A72498"/>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17B"/>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108"/>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977"/>
    <w:rsid w:val="00AB5E39"/>
    <w:rsid w:val="00AB607B"/>
    <w:rsid w:val="00AB642C"/>
    <w:rsid w:val="00AB644A"/>
    <w:rsid w:val="00AB6458"/>
    <w:rsid w:val="00AB6697"/>
    <w:rsid w:val="00AB6C44"/>
    <w:rsid w:val="00AB6CA0"/>
    <w:rsid w:val="00AB7471"/>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ED7"/>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C02"/>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9EF"/>
    <w:rsid w:val="00AE3AF4"/>
    <w:rsid w:val="00AE3B15"/>
    <w:rsid w:val="00AE425D"/>
    <w:rsid w:val="00AE42D1"/>
    <w:rsid w:val="00AE4309"/>
    <w:rsid w:val="00AE4557"/>
    <w:rsid w:val="00AE4A1F"/>
    <w:rsid w:val="00AE4C55"/>
    <w:rsid w:val="00AE4F01"/>
    <w:rsid w:val="00AE5A16"/>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2F2F"/>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9F6"/>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621"/>
    <w:rsid w:val="00B06771"/>
    <w:rsid w:val="00B06C77"/>
    <w:rsid w:val="00B07390"/>
    <w:rsid w:val="00B075EC"/>
    <w:rsid w:val="00B076A7"/>
    <w:rsid w:val="00B076C4"/>
    <w:rsid w:val="00B07BB1"/>
    <w:rsid w:val="00B07CBE"/>
    <w:rsid w:val="00B108ED"/>
    <w:rsid w:val="00B10931"/>
    <w:rsid w:val="00B1093D"/>
    <w:rsid w:val="00B10BE8"/>
    <w:rsid w:val="00B10D9F"/>
    <w:rsid w:val="00B10DF3"/>
    <w:rsid w:val="00B1167A"/>
    <w:rsid w:val="00B11882"/>
    <w:rsid w:val="00B11E29"/>
    <w:rsid w:val="00B12603"/>
    <w:rsid w:val="00B12A8C"/>
    <w:rsid w:val="00B12DCB"/>
    <w:rsid w:val="00B13003"/>
    <w:rsid w:val="00B13123"/>
    <w:rsid w:val="00B13554"/>
    <w:rsid w:val="00B137BE"/>
    <w:rsid w:val="00B13829"/>
    <w:rsid w:val="00B13F1F"/>
    <w:rsid w:val="00B14251"/>
    <w:rsid w:val="00B147CC"/>
    <w:rsid w:val="00B1488A"/>
    <w:rsid w:val="00B150FE"/>
    <w:rsid w:val="00B15141"/>
    <w:rsid w:val="00B151C6"/>
    <w:rsid w:val="00B15916"/>
    <w:rsid w:val="00B16815"/>
    <w:rsid w:val="00B16B5F"/>
    <w:rsid w:val="00B16D08"/>
    <w:rsid w:val="00B1736C"/>
    <w:rsid w:val="00B17744"/>
    <w:rsid w:val="00B17D3E"/>
    <w:rsid w:val="00B20057"/>
    <w:rsid w:val="00B2043A"/>
    <w:rsid w:val="00B2063B"/>
    <w:rsid w:val="00B20A2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D16"/>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E02"/>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1FA2"/>
    <w:rsid w:val="00B42879"/>
    <w:rsid w:val="00B430D3"/>
    <w:rsid w:val="00B43398"/>
    <w:rsid w:val="00B436F6"/>
    <w:rsid w:val="00B437BD"/>
    <w:rsid w:val="00B43985"/>
    <w:rsid w:val="00B439FA"/>
    <w:rsid w:val="00B43AA0"/>
    <w:rsid w:val="00B43D4D"/>
    <w:rsid w:val="00B43E05"/>
    <w:rsid w:val="00B44009"/>
    <w:rsid w:val="00B440CF"/>
    <w:rsid w:val="00B4418B"/>
    <w:rsid w:val="00B44370"/>
    <w:rsid w:val="00B443C5"/>
    <w:rsid w:val="00B4485B"/>
    <w:rsid w:val="00B4493B"/>
    <w:rsid w:val="00B453AD"/>
    <w:rsid w:val="00B45A4B"/>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A2F"/>
    <w:rsid w:val="00B50E09"/>
    <w:rsid w:val="00B50FD1"/>
    <w:rsid w:val="00B51420"/>
    <w:rsid w:val="00B51526"/>
    <w:rsid w:val="00B5171B"/>
    <w:rsid w:val="00B517F1"/>
    <w:rsid w:val="00B518DF"/>
    <w:rsid w:val="00B51A40"/>
    <w:rsid w:val="00B5238F"/>
    <w:rsid w:val="00B529F2"/>
    <w:rsid w:val="00B52EC8"/>
    <w:rsid w:val="00B53018"/>
    <w:rsid w:val="00B5304B"/>
    <w:rsid w:val="00B53414"/>
    <w:rsid w:val="00B5370C"/>
    <w:rsid w:val="00B538FF"/>
    <w:rsid w:val="00B53EF5"/>
    <w:rsid w:val="00B54126"/>
    <w:rsid w:val="00B542BA"/>
    <w:rsid w:val="00B54989"/>
    <w:rsid w:val="00B54CC5"/>
    <w:rsid w:val="00B553CF"/>
    <w:rsid w:val="00B55590"/>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38A0"/>
    <w:rsid w:val="00B640AB"/>
    <w:rsid w:val="00B64124"/>
    <w:rsid w:val="00B64398"/>
    <w:rsid w:val="00B64484"/>
    <w:rsid w:val="00B645F8"/>
    <w:rsid w:val="00B64A44"/>
    <w:rsid w:val="00B64BB8"/>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2B63"/>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49C"/>
    <w:rsid w:val="00B86557"/>
    <w:rsid w:val="00B86AD8"/>
    <w:rsid w:val="00B86D87"/>
    <w:rsid w:val="00B871D4"/>
    <w:rsid w:val="00B87AF3"/>
    <w:rsid w:val="00B87C60"/>
    <w:rsid w:val="00B90165"/>
    <w:rsid w:val="00B901B1"/>
    <w:rsid w:val="00B911E8"/>
    <w:rsid w:val="00B91356"/>
    <w:rsid w:val="00B91DA5"/>
    <w:rsid w:val="00B91E9D"/>
    <w:rsid w:val="00B922C4"/>
    <w:rsid w:val="00B92656"/>
    <w:rsid w:val="00B926E0"/>
    <w:rsid w:val="00B929F2"/>
    <w:rsid w:val="00B92AA1"/>
    <w:rsid w:val="00B92AD4"/>
    <w:rsid w:val="00B92BF1"/>
    <w:rsid w:val="00B932E1"/>
    <w:rsid w:val="00B93C36"/>
    <w:rsid w:val="00B940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4D0"/>
    <w:rsid w:val="00BA067F"/>
    <w:rsid w:val="00BA0B92"/>
    <w:rsid w:val="00BA13E0"/>
    <w:rsid w:val="00BA1534"/>
    <w:rsid w:val="00BA1731"/>
    <w:rsid w:val="00BA17C4"/>
    <w:rsid w:val="00BA1E78"/>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927"/>
    <w:rsid w:val="00BB0D75"/>
    <w:rsid w:val="00BB1180"/>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697"/>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58F"/>
    <w:rsid w:val="00BE5613"/>
    <w:rsid w:val="00BE5813"/>
    <w:rsid w:val="00BE581F"/>
    <w:rsid w:val="00BE5C7E"/>
    <w:rsid w:val="00BE6038"/>
    <w:rsid w:val="00BE65B3"/>
    <w:rsid w:val="00BE68B9"/>
    <w:rsid w:val="00BE7265"/>
    <w:rsid w:val="00BE7B27"/>
    <w:rsid w:val="00BE7CB3"/>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60C"/>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00"/>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E4C"/>
    <w:rsid w:val="00C10F46"/>
    <w:rsid w:val="00C1114F"/>
    <w:rsid w:val="00C11183"/>
    <w:rsid w:val="00C11197"/>
    <w:rsid w:val="00C1157C"/>
    <w:rsid w:val="00C11C33"/>
    <w:rsid w:val="00C11C73"/>
    <w:rsid w:val="00C11FE5"/>
    <w:rsid w:val="00C11FF6"/>
    <w:rsid w:val="00C1205D"/>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3DB"/>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69D7"/>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87D1B"/>
    <w:rsid w:val="00C901A9"/>
    <w:rsid w:val="00C9047A"/>
    <w:rsid w:val="00C9054E"/>
    <w:rsid w:val="00C905AC"/>
    <w:rsid w:val="00C9065E"/>
    <w:rsid w:val="00C90732"/>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850"/>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6F6"/>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6C91"/>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29A"/>
    <w:rsid w:val="00CC57AE"/>
    <w:rsid w:val="00CC5AE0"/>
    <w:rsid w:val="00CC6051"/>
    <w:rsid w:val="00CC606C"/>
    <w:rsid w:val="00CC620F"/>
    <w:rsid w:val="00CC6263"/>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1F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41C"/>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EC"/>
    <w:rsid w:val="00D02AFC"/>
    <w:rsid w:val="00D02C36"/>
    <w:rsid w:val="00D02E17"/>
    <w:rsid w:val="00D02F2F"/>
    <w:rsid w:val="00D0321D"/>
    <w:rsid w:val="00D039A0"/>
    <w:rsid w:val="00D03AC6"/>
    <w:rsid w:val="00D03C72"/>
    <w:rsid w:val="00D04A63"/>
    <w:rsid w:val="00D04FC8"/>
    <w:rsid w:val="00D050BA"/>
    <w:rsid w:val="00D05B47"/>
    <w:rsid w:val="00D05BB6"/>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856"/>
    <w:rsid w:val="00D10CA2"/>
    <w:rsid w:val="00D10E3E"/>
    <w:rsid w:val="00D10F1B"/>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5B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BDE"/>
    <w:rsid w:val="00D64CB8"/>
    <w:rsid w:val="00D65404"/>
    <w:rsid w:val="00D6575A"/>
    <w:rsid w:val="00D65837"/>
    <w:rsid w:val="00D65DD6"/>
    <w:rsid w:val="00D66008"/>
    <w:rsid w:val="00D66022"/>
    <w:rsid w:val="00D66065"/>
    <w:rsid w:val="00D66270"/>
    <w:rsid w:val="00D66C66"/>
    <w:rsid w:val="00D66DAA"/>
    <w:rsid w:val="00D671EF"/>
    <w:rsid w:val="00D67369"/>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0EE2"/>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053"/>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1F9"/>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62C"/>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DF7E1D"/>
    <w:rsid w:val="00E00368"/>
    <w:rsid w:val="00E005F5"/>
    <w:rsid w:val="00E00A07"/>
    <w:rsid w:val="00E00A92"/>
    <w:rsid w:val="00E01395"/>
    <w:rsid w:val="00E015A5"/>
    <w:rsid w:val="00E019EA"/>
    <w:rsid w:val="00E01A5C"/>
    <w:rsid w:val="00E027C3"/>
    <w:rsid w:val="00E028E6"/>
    <w:rsid w:val="00E02C20"/>
    <w:rsid w:val="00E0324B"/>
    <w:rsid w:val="00E0345F"/>
    <w:rsid w:val="00E037EE"/>
    <w:rsid w:val="00E03BEA"/>
    <w:rsid w:val="00E0401E"/>
    <w:rsid w:val="00E04234"/>
    <w:rsid w:val="00E046C1"/>
    <w:rsid w:val="00E049EC"/>
    <w:rsid w:val="00E0551D"/>
    <w:rsid w:val="00E05864"/>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33F"/>
    <w:rsid w:val="00E547DF"/>
    <w:rsid w:val="00E54D33"/>
    <w:rsid w:val="00E54DCD"/>
    <w:rsid w:val="00E55F19"/>
    <w:rsid w:val="00E564C1"/>
    <w:rsid w:val="00E56898"/>
    <w:rsid w:val="00E56D97"/>
    <w:rsid w:val="00E56E3C"/>
    <w:rsid w:val="00E56F3C"/>
    <w:rsid w:val="00E5711F"/>
    <w:rsid w:val="00E571C0"/>
    <w:rsid w:val="00E571D3"/>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5E1"/>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6DFF"/>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6AB"/>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0C5"/>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2E15"/>
    <w:rsid w:val="00F13242"/>
    <w:rsid w:val="00F1403E"/>
    <w:rsid w:val="00F140FE"/>
    <w:rsid w:val="00F1415B"/>
    <w:rsid w:val="00F1418D"/>
    <w:rsid w:val="00F141F4"/>
    <w:rsid w:val="00F14FB4"/>
    <w:rsid w:val="00F15CF3"/>
    <w:rsid w:val="00F15F83"/>
    <w:rsid w:val="00F160CF"/>
    <w:rsid w:val="00F165FF"/>
    <w:rsid w:val="00F16A21"/>
    <w:rsid w:val="00F16BB1"/>
    <w:rsid w:val="00F17002"/>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26E"/>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A32"/>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4F47"/>
    <w:rsid w:val="00F75057"/>
    <w:rsid w:val="00F75A01"/>
    <w:rsid w:val="00F75C0B"/>
    <w:rsid w:val="00F763DF"/>
    <w:rsid w:val="00F76B16"/>
    <w:rsid w:val="00F77028"/>
    <w:rsid w:val="00F7792A"/>
    <w:rsid w:val="00F77A6F"/>
    <w:rsid w:val="00F77C47"/>
    <w:rsid w:val="00F77C4B"/>
    <w:rsid w:val="00F77CFA"/>
    <w:rsid w:val="00F8027D"/>
    <w:rsid w:val="00F802D3"/>
    <w:rsid w:val="00F805DD"/>
    <w:rsid w:val="00F80A32"/>
    <w:rsid w:val="00F80D8F"/>
    <w:rsid w:val="00F80FA1"/>
    <w:rsid w:val="00F8116A"/>
    <w:rsid w:val="00F81311"/>
    <w:rsid w:val="00F81625"/>
    <w:rsid w:val="00F81A54"/>
    <w:rsid w:val="00F81B5F"/>
    <w:rsid w:val="00F81E0E"/>
    <w:rsid w:val="00F81F25"/>
    <w:rsid w:val="00F81FE8"/>
    <w:rsid w:val="00F82272"/>
    <w:rsid w:val="00F8232E"/>
    <w:rsid w:val="00F825FF"/>
    <w:rsid w:val="00F82760"/>
    <w:rsid w:val="00F82956"/>
    <w:rsid w:val="00F82A7D"/>
    <w:rsid w:val="00F82D8E"/>
    <w:rsid w:val="00F82DBC"/>
    <w:rsid w:val="00F83301"/>
    <w:rsid w:val="00F837DD"/>
    <w:rsid w:val="00F83F02"/>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27"/>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1DA"/>
    <w:rsid w:val="00FA17D6"/>
    <w:rsid w:val="00FA1B1E"/>
    <w:rsid w:val="00FA1CBF"/>
    <w:rsid w:val="00FA1D8F"/>
    <w:rsid w:val="00FA1EB0"/>
    <w:rsid w:val="00FA2002"/>
    <w:rsid w:val="00FA2526"/>
    <w:rsid w:val="00FA25F3"/>
    <w:rsid w:val="00FA2663"/>
    <w:rsid w:val="00FA2AB0"/>
    <w:rsid w:val="00FA2EB9"/>
    <w:rsid w:val="00FA33A2"/>
    <w:rsid w:val="00FA3871"/>
    <w:rsid w:val="00FA390A"/>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48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50C"/>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842"/>
    <w:rsid w:val="00FD2A71"/>
    <w:rsid w:val="00FD2B26"/>
    <w:rsid w:val="00FD2F34"/>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6F0"/>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712F2B"/>
    <w:rsid w:val="067D4C1C"/>
    <w:rsid w:val="06B127E5"/>
    <w:rsid w:val="072F2729"/>
    <w:rsid w:val="07C21FA9"/>
    <w:rsid w:val="08574836"/>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3DC4F0B"/>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4730E9"/>
    <w:rsid w:val="32832752"/>
    <w:rsid w:val="32FE23BF"/>
    <w:rsid w:val="330E6893"/>
    <w:rsid w:val="33306216"/>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004FE"/>
    <w:rsid w:val="3F01664D"/>
    <w:rsid w:val="3F175FC8"/>
    <w:rsid w:val="3FD010A5"/>
    <w:rsid w:val="40850DCD"/>
    <w:rsid w:val="41AC1D9C"/>
    <w:rsid w:val="4242619A"/>
    <w:rsid w:val="42B20782"/>
    <w:rsid w:val="44917C93"/>
    <w:rsid w:val="46D41E44"/>
    <w:rsid w:val="47AE2F53"/>
    <w:rsid w:val="48127B18"/>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042770F"/>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00E27F4E-0895-417F-9596-D9910852E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ListParagraph1">
    <w:name w:val="List Paragraph1"/>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customStyle="1" w:styleId="PlaceholderText1">
    <w:name w:val="Placeholder Text1"/>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1"/>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pPr>
      <w:spacing w:before="100" w:beforeAutospacing="1" w:after="180"/>
    </w:pPr>
    <w:rPr>
      <w:rFonts w:eastAsia="宋体"/>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rPr>
      <w:rFonts w:eastAsia="Times New Roman"/>
    </w:rPr>
    <w:tblPr>
      <w:tblCellMar>
        <w:top w:w="0" w:type="dxa"/>
        <w:left w:w="108" w:type="dxa"/>
        <w:bottom w:w="0" w:type="dxa"/>
        <w:right w:w="108" w:type="dxa"/>
      </w:tblCellMar>
    </w:tblPr>
  </w:style>
  <w:style w:type="paragraph" w:customStyle="1" w:styleId="3">
    <w:name w:val="正文3"/>
    <w:pPr>
      <w:widowControl w:val="0"/>
      <w:jc w:val="both"/>
    </w:pPr>
    <w:rPr>
      <w:rFonts w:eastAsia="宋体"/>
      <w:kern w:val="2"/>
      <w:sz w:val="21"/>
      <w:szCs w:val="21"/>
    </w:rPr>
  </w:style>
  <w:style w:type="character" w:customStyle="1" w:styleId="TAHCar">
    <w:name w:val="TAH Car"/>
    <w:link w:val="TAH"/>
    <w:qFormat/>
    <w:rPr>
      <w:rFonts w:ascii="Arial" w:eastAsia="宋体"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9FD413-1BEB-4555-8B27-C3BD1CE7B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413</Words>
  <Characters>2357</Characters>
  <Application>Microsoft Office Word</Application>
  <DocSecurity>0</DocSecurity>
  <Lines>19</Lines>
  <Paragraphs>5</Paragraphs>
  <ScaleCrop>false</ScaleCrop>
  <Company>ZTE Corporation</Company>
  <LinksUpToDate>false</LinksUpToDate>
  <CharactersWithSpaces>2765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56</cp:revision>
  <cp:lastPrinted>2018-04-07T03:05:00Z</cp:lastPrinted>
  <dcterms:created xsi:type="dcterms:W3CDTF">2020-04-09T03:27:00Z</dcterms:created>
  <dcterms:modified xsi:type="dcterms:W3CDTF">2020-04-10T08:34:00Z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2052-10.8.0.6308</vt:lpwstr>
  </property>
</Properties>
</file>